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‘BEING THERE’: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Mothering and absence/presence in the field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Trisia Farrelly, Rochelle Stewart-Withers &amp; Kelly Dombroski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ABSTRACT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Much has been written about families and their influence on relationships and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research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in fieldwork, yet seldom has the absence of family in the field received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analytical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attention. The authors of this paper contribute to an emerging ‘anthropology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of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absence’ in a number of ways: We direct the focus of absence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away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from our participants to reflect on our own children’s absences in the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field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>; we attend to the absence of individual persons whereas work in this field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predominantly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focuses on material objects and ethnic groups; we argue that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the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embodied traces felt in our children’s absence make mother-child relationships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unique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to other unaccompanied fieldwork experiences; we illustrate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the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relational and contingent character of absence as absence/presence as we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examine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the agency of our children’s absence on the process and product of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our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field research; and we reflect on how our children’s absence/presence in the</w:t>
      </w:r>
    </w:p>
    <w:p w:rsidR="00812937" w:rsidRDefault="00812937" w:rsidP="008129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proofErr w:type="gramStart"/>
      <w:r>
        <w:rPr>
          <w:rFonts w:ascii="MinionPro-It" w:hAnsi="MinionPro-It" w:cs="MinionPro-It"/>
          <w:i/>
          <w:iCs/>
          <w:sz w:val="18"/>
          <w:szCs w:val="18"/>
        </w:rPr>
        <w:t>field</w:t>
      </w:r>
      <w:proofErr w:type="gramEnd"/>
      <w:r>
        <w:rPr>
          <w:rFonts w:ascii="MinionPro-It" w:hAnsi="MinionPro-It" w:cs="MinionPro-It"/>
          <w:i/>
          <w:iCs/>
          <w:sz w:val="18"/>
          <w:szCs w:val="18"/>
        </w:rPr>
        <w:t xml:space="preserve"> alters our subjectivities as mother-researchers.</w:t>
      </w:r>
    </w:p>
    <w:p w:rsidR="00DC1F1A" w:rsidRDefault="00812937" w:rsidP="00812937">
      <w:pPr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Keywords</w:t>
      </w:r>
      <w:r>
        <w:rPr>
          <w:rFonts w:ascii="MinionPro-Regular" w:hAnsi="MinionPro-Regular" w:cs="MinionPro-Regular"/>
          <w:sz w:val="20"/>
          <w:szCs w:val="20"/>
        </w:rPr>
        <w:t>: absence; absence/presence; academic mothers; fieldwork; mothering</w:t>
      </w:r>
    </w:p>
    <w:p w:rsidR="00812937" w:rsidRDefault="00812937" w:rsidP="00812937">
      <w:r>
        <w:rPr>
          <w:rFonts w:ascii="MinionPro-Regular" w:hAnsi="MinionPro-Regular" w:cs="MinionPro-Regular"/>
          <w:sz w:val="20"/>
          <w:szCs w:val="20"/>
        </w:rPr>
        <w:t xml:space="preserve">Available from </w:t>
      </w:r>
      <w:hyperlink r:id="rId5" w:history="1">
        <w:r w:rsidRPr="006332FF">
          <w:rPr>
            <w:rStyle w:val="Hyperlink"/>
            <w:rFonts w:ascii="MinionPro-Regular" w:hAnsi="MinionPro-Regular" w:cs="MinionPro-Regular"/>
            <w:sz w:val="20"/>
            <w:szCs w:val="20"/>
          </w:rPr>
          <w:t>https://sites.otago.ac.nz/Sites/article/view/281</w:t>
        </w:r>
      </w:hyperlink>
      <w:r>
        <w:rPr>
          <w:rFonts w:ascii="MinionPro-Regular" w:hAnsi="MinionPro-Regular" w:cs="MinionPro-Regular"/>
          <w:sz w:val="20"/>
          <w:szCs w:val="20"/>
        </w:rPr>
        <w:t xml:space="preserve"> (Open Access after 12 months)</w:t>
      </w:r>
      <w:bookmarkStart w:id="0" w:name="_GoBack"/>
      <w:bookmarkEnd w:id="0"/>
    </w:p>
    <w:sectPr w:rsidR="0081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37"/>
    <w:rsid w:val="0065720B"/>
    <w:rsid w:val="00812937"/>
    <w:rsid w:val="00D9686F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9686F"/>
    <w:pPr>
      <w:pBdr>
        <w:top w:val="single" w:sz="12" w:space="1" w:color="76923C" w:themeColor="accent3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9686F"/>
    <w:rPr>
      <w:smallCap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2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9686F"/>
    <w:pPr>
      <w:pBdr>
        <w:top w:val="single" w:sz="12" w:space="1" w:color="76923C" w:themeColor="accent3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9686F"/>
    <w:rPr>
      <w:smallCap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otago.ac.nz/Sites/article/view/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Dombroski</dc:creator>
  <cp:lastModifiedBy>Kelly Dombroski</cp:lastModifiedBy>
  <cp:revision>1</cp:revision>
  <dcterms:created xsi:type="dcterms:W3CDTF">2014-12-09T01:59:00Z</dcterms:created>
  <dcterms:modified xsi:type="dcterms:W3CDTF">2014-12-09T02:00:00Z</dcterms:modified>
</cp:coreProperties>
</file>